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b/>
          <w:bCs/>
        </w:rPr>
        <w:t xml:space="preserve">Corporate Cybersecurity-First Governance Guide</w:t>
      </w:r>
    </w:p>
    <w:p>
      <w:pPr>
        <w:spacing w:after="200"/>
      </w:pPr>
      <w:r>
        <w:t xml:space="preserve">Version 1.0</w:t>
      </w:r>
    </w:p>
    <w:p>
      <w:pPr>
        <w:spacing w:after="200"/>
      </w:pPr>
      <w:r>
        <w:t xml:space="preserve">This guide consolidates current government and professional recommendations into a customizable corporate policy and operating framework for building a security-first culture in any organization. It aligns to NIST Cybersecurity Framework 2.0, NIST SP 800-61 Rev. 3, CISA Cyber Essentials and ransomware guidance, CIS Controls v8.1, and ISACA cyber-resilience practices.</w:t>
      </w:r>
    </w:p>
    <w:p>
      <w:pPr>
        <w:shd w:fill="FFF3CD" w:color="auto" w:val="solid"/>
        <w:spacing w:after="200"/>
      </w:pPr>
      <w:r>
        <w:rPr>
          <w:b/>
          <w:bCs/>
        </w:rPr>
        <w:t xml:space="preserve">Important notice. </w:t>
      </w:r>
      <w:r>
        <w:t xml:space="preserve">This material is provided for general educational and planning purposes. It is not legal, regulatory, insurance, or professional advice. Adapt it to your organization, technology stack, and obligations, and obtain qualified legal, security, and leadership review before adoption.</w:t>
      </w:r>
    </w:p>
    <w:p>
      <w:pPr>
        <w:pStyle w:val="Heading2"/>
      </w:pPr>
      <w:r>
        <w:t xml:space="preserve">Table of Contents</w:t>
      </w:r>
    </w:p>
    <w:p>
      <w:pPr>
        <w:pStyle w:val="ListParagraph"/>
        <w:numPr>
          <w:ilvl w:val="0"/>
          <w:numId w:val="1"/>
        </w:numPr>
      </w:pPr>
      <w:r>
        <w:t xml:space="preserve">Purpose and Scope</w:t>
      </w:r>
    </w:p>
    <w:p>
      <w:pPr>
        <w:pStyle w:val="ListParagraph"/>
        <w:numPr>
          <w:ilvl w:val="0"/>
          <w:numId w:val="1"/>
        </w:numPr>
      </w:pPr>
      <w:r>
        <w:t xml:space="preserve">Cybersecurity-First Corporate Policy</w:t>
      </w:r>
    </w:p>
    <w:p>
      <w:pPr>
        <w:pStyle w:val="ListParagraph"/>
        <w:numPr>
          <w:ilvl w:val="0"/>
          <w:numId w:val="1"/>
        </w:numPr>
      </w:pPr>
      <w:r>
        <w:t xml:space="preserve">Governance and Responsibilities</w:t>
      </w:r>
    </w:p>
    <w:p>
      <w:pPr>
        <w:pStyle w:val="ListParagraph"/>
        <w:numPr>
          <w:ilvl w:val="0"/>
          <w:numId w:val="1"/>
        </w:numPr>
      </w:pPr>
      <w:r>
        <w:t xml:space="preserve">Operating Schedule</w:t>
      </w:r>
    </w:p>
    <w:p>
      <w:pPr>
        <w:pStyle w:val="ListParagraph"/>
        <w:numPr>
          <w:ilvl w:val="0"/>
          <w:numId w:val="1"/>
        </w:numPr>
      </w:pPr>
      <w:r>
        <w:t xml:space="preserve">Vulnerability Management Standard</w:t>
      </w:r>
    </w:p>
    <w:p>
      <w:pPr>
        <w:pStyle w:val="ListParagraph"/>
        <w:numPr>
          <w:ilvl w:val="0"/>
          <w:numId w:val="1"/>
        </w:numPr>
      </w:pPr>
      <w:r>
        <w:t xml:space="preserve">Tabletop Exercise Program</w:t>
      </w:r>
    </w:p>
    <w:p>
      <w:pPr>
        <w:pStyle w:val="ListParagraph"/>
        <w:numPr>
          <w:ilvl w:val="0"/>
          <w:numId w:val="1"/>
        </w:numPr>
      </w:pPr>
      <w:r>
        <w:t xml:space="preserve">Incident Response, Ransomware, Backup, and Recovery</w:t>
      </w:r>
    </w:p>
    <w:p>
      <w:pPr>
        <w:pStyle w:val="ListParagraph"/>
        <w:numPr>
          <w:ilvl w:val="0"/>
          <w:numId w:val="1"/>
        </w:numPr>
      </w:pPr>
      <w:r>
        <w:t xml:space="preserve">Security Culture and Workforce Guidance</w:t>
      </w:r>
    </w:p>
    <w:p>
      <w:pPr>
        <w:pStyle w:val="ListParagraph"/>
        <w:numPr>
          <w:ilvl w:val="0"/>
          <w:numId w:val="1"/>
        </w:numPr>
      </w:pPr>
      <w:r>
        <w:t xml:space="preserve">Third-Party and Supply-Chain Security</w:t>
      </w:r>
    </w:p>
    <w:p>
      <w:pPr>
        <w:pStyle w:val="ListParagraph"/>
        <w:numPr>
          <w:ilvl w:val="0"/>
          <w:numId w:val="1"/>
        </w:numPr>
      </w:pPr>
      <w:r>
        <w:t xml:space="preserve">Executive and Board Metrics</w:t>
      </w:r>
    </w:p>
    <w:p>
      <w:pPr>
        <w:pStyle w:val="ListParagraph"/>
        <w:numPr>
          <w:ilvl w:val="0"/>
          <w:numId w:val="1"/>
        </w:numPr>
      </w:pPr>
      <w:r>
        <w:t xml:space="preserve">Implementation Roadmap</w:t>
      </w:r>
    </w:p>
    <w:p>
      <w:pPr>
        <w:pStyle w:val="ListParagraph"/>
        <w:numPr>
          <w:ilvl w:val="0"/>
          <w:numId w:val="1"/>
        </w:numPr>
      </w:pPr>
      <w:r>
        <w:t xml:space="preserve">Readiness Checklists and Corrective Action Register</w:t>
      </w:r>
    </w:p>
    <w:p>
      <w:pPr>
        <w:pStyle w:val="ListParagraph"/>
        <w:numPr>
          <w:ilvl w:val="0"/>
          <w:numId w:val="1"/>
        </w:numPr>
      </w:pPr>
      <w:r>
        <w:t xml:space="preserve">Exercise After-Action Template</w:t>
      </w:r>
    </w:p>
    <w:p>
      <w:pPr>
        <w:pStyle w:val="ListParagraph"/>
        <w:numPr>
          <w:ilvl w:val="0"/>
          <w:numId w:val="1"/>
        </w:numPr>
      </w:pPr>
      <w:r>
        <w:t xml:space="preserve">References</w:t>
      </w:r>
    </w:p>
    <w:p>
      <w:pPr>
        <w:pStyle w:val="Heading1"/>
        <w:spacing w:after="120" w:before="300"/>
      </w:pPr>
      <w:r>
        <w:rPr>
          <w:b/>
          <w:bCs/>
        </w:rPr>
        <w:t xml:space="preserve">1. Purpose and Scope</w:t>
      </w:r>
    </w:p>
    <w:p>
      <w:pPr>
        <w:spacing w:after="120"/>
      </w:pPr>
      <w:r>
        <w:t xml:space="preserve">This guide gives leadership a practical, customizable framework to build and operate a cybersecurity-first organization. It translates current government and professional guidance into a corporate policy, an operating schedule, measurable controls, and an implementation roadmap.</w:t>
      </w:r>
    </w:p>
    <w:p>
      <w:pPr>
        <w:spacing w:after="120"/>
      </w:pPr>
      <w:r>
        <w:t xml:space="preserve">It is organized around the NIST Cybersecurity Framework 2.0 functions: Govern, Identify, Protect, Detect, Respond, and Recover. Govern is treated as the foundation that makes the other functions sustainable.</w:t>
      </w:r>
    </w:p>
    <w:p>
      <w:pPr>
        <w:pStyle w:val="Heading2"/>
        <w:spacing w:after="80" w:before="240"/>
      </w:pPr>
      <w:r>
        <w:rPr>
          <w:b/>
          <w:bCs/>
        </w:rPr>
        <w:t xml:space="preserve">How to use this guide</w:t>
      </w:r>
    </w:p>
    <w:p>
      <w:pPr>
        <w:pStyle w:val="ListParagraph"/>
        <w:numPr>
          <w:ilvl w:val="0"/>
          <w:numId w:val="1"/>
        </w:numPr>
      </w:pPr>
      <w:r>
        <w:t xml:space="preserve">Adopt the policy statements in Section 2 as a baseline and tailor them to your risk appetite.</w:t>
      </w:r>
    </w:p>
    <w:p>
      <w:pPr>
        <w:pStyle w:val="ListParagraph"/>
        <w:numPr>
          <w:ilvl w:val="0"/>
          <w:numId w:val="1"/>
        </w:numPr>
      </w:pPr>
      <w:r>
        <w:t xml:space="preserve">Assign the responsibilities in Section 3 to named owners with clear authority.</w:t>
      </w:r>
    </w:p>
    <w:p>
      <w:pPr>
        <w:pStyle w:val="ListParagraph"/>
        <w:numPr>
          <w:ilvl w:val="0"/>
          <w:numId w:val="1"/>
        </w:numPr>
      </w:pPr>
      <w:r>
        <w:t xml:space="preserve">Operate the schedule in Section 4 and the vulnerability standard in Section 5.</w:t>
      </w:r>
    </w:p>
    <w:p>
      <w:pPr>
        <w:pStyle w:val="ListParagraph"/>
        <w:numPr>
          <w:ilvl w:val="0"/>
          <w:numId w:val="1"/>
        </w:numPr>
      </w:pPr>
      <w:r>
        <w:t xml:space="preserve">Run the tabletop program in Section 6 and the incident, ransomware, backup, and recovery requirements in Section 7.</w:t>
      </w:r>
    </w:p>
    <w:p>
      <w:pPr>
        <w:pStyle w:val="ListParagraph"/>
        <w:numPr>
          <w:ilvl w:val="0"/>
          <w:numId w:val="1"/>
        </w:numPr>
      </w:pPr>
      <w:r>
        <w:t xml:space="preserve">Track the metrics in Section 10 and the roadmap in Section 11.</w:t>
      </w:r>
    </w:p>
    <w:p>
      <w:pPr>
        <w:pStyle w:val="Heading1"/>
        <w:spacing w:after="120" w:before="300"/>
      </w:pPr>
      <w:r>
        <w:rPr>
          <w:b/>
          <w:bCs/>
        </w:rPr>
        <w:t xml:space="preserve">2. Cybersecurity-First Corporate Policy</w:t>
      </w:r>
    </w:p>
    <w:p>
      <w:pPr>
        <w:spacing w:after="120"/>
      </w:pPr>
      <w:r>
        <w:t xml:space="preserve">The following policy statements establish a cybersecurity-first posture. They should be approved by executive leadership, ratified by the board, and communicated to the workforce.</w:t>
      </w:r>
    </w:p>
    <w:p>
      <w:pPr>
        <w:pStyle w:val="ListParagraph"/>
        <w:numPr>
          <w:ilvl w:val="0"/>
          <w:numId w:val="1"/>
        </w:numPr>
      </w:pPr>
      <w:r>
        <w:t xml:space="preserve">Cybersecurity risk is treated as enterprise risk and is managed at the leadership and board level.</w:t>
      </w:r>
    </w:p>
    <w:p>
      <w:pPr>
        <w:pStyle w:val="ListParagraph"/>
        <w:numPr>
          <w:ilvl w:val="0"/>
          <w:numId w:val="1"/>
        </w:numPr>
      </w:pPr>
      <w:r>
        <w:t xml:space="preserve">Security is designed into systems, products, and processes from the start, not added after delivery.</w:t>
      </w:r>
    </w:p>
    <w:p>
      <w:pPr>
        <w:pStyle w:val="ListParagraph"/>
        <w:numPr>
          <w:ilvl w:val="0"/>
          <w:numId w:val="1"/>
        </w:numPr>
      </w:pPr>
      <w:r>
        <w:t xml:space="preserve">Least privilege and phishing-resistant multi-factor authentication are required for administrative and remote access.</w:t>
      </w:r>
    </w:p>
    <w:p>
      <w:pPr>
        <w:pStyle w:val="ListParagraph"/>
        <w:numPr>
          <w:ilvl w:val="0"/>
          <w:numId w:val="1"/>
        </w:numPr>
      </w:pPr>
      <w:r>
        <w:t xml:space="preserve">Data is classified, protected in transit and at rest, and retained and disposed of per policy and law.</w:t>
      </w:r>
    </w:p>
    <w:p>
      <w:pPr>
        <w:pStyle w:val="ListParagraph"/>
        <w:numPr>
          <w:ilvl w:val="0"/>
          <w:numId w:val="1"/>
        </w:numPr>
      </w:pPr>
      <w:r>
        <w:t xml:space="preserve">Backups are isolated, tested, and capable of restoring critical services within agreed objectives.</w:t>
      </w:r>
    </w:p>
    <w:p>
      <w:pPr>
        <w:pStyle w:val="ListParagraph"/>
        <w:numPr>
          <w:ilvl w:val="0"/>
          <w:numId w:val="1"/>
        </w:numPr>
      </w:pPr>
      <w:r>
        <w:t xml:space="preserve">Vulnerabilities are tracked to remediation within risk-based deadlines.</w:t>
      </w:r>
    </w:p>
    <w:p>
      <w:pPr>
        <w:pStyle w:val="ListParagraph"/>
        <w:numPr>
          <w:ilvl w:val="0"/>
          <w:numId w:val="1"/>
        </w:numPr>
      </w:pPr>
      <w:r>
        <w:t xml:space="preserve">Third parties are held to equivalent security expectations through contracts and reviews.</w:t>
      </w:r>
    </w:p>
    <w:p>
      <w:pPr>
        <w:pStyle w:val="ListParagraph"/>
        <w:numPr>
          <w:ilvl w:val="0"/>
          <w:numId w:val="1"/>
        </w:numPr>
      </w:pPr>
      <w:r>
        <w:t xml:space="preserve">Incidents are reported promptly through a known 24x7 path, without fear of disproportionate blame for good-faith reporting.</w:t>
      </w:r>
    </w:p>
    <w:p>
      <w:pPr>
        <w:pStyle w:val="ListParagraph"/>
        <w:numPr>
          <w:ilvl w:val="0"/>
          <w:numId w:val="1"/>
        </w:numPr>
      </w:pPr>
      <w:r>
        <w:t xml:space="preserve">Workforce members receive security awareness training on hire and at least annually.</w:t>
      </w:r>
    </w:p>
    <w:p>
      <w:pPr>
        <w:pStyle w:val="ListParagraph"/>
        <w:numPr>
          <w:ilvl w:val="0"/>
          <w:numId w:val="1"/>
        </w:numPr>
      </w:pPr>
      <w:r>
        <w:t xml:space="preserve">Controls and the program are measured, reported to executives and the board, and improved continuously.</w:t>
      </w:r>
    </w:p>
    <w:p>
      <w:pPr>
        <w:pStyle w:val="Heading1"/>
        <w:spacing w:after="120" w:before="300"/>
      </w:pPr>
      <w:r>
        <w:rPr>
          <w:b/>
          <w:bCs/>
        </w:rPr>
        <w:t xml:space="preserve">3. Governance and Responsibilities</w:t>
      </w:r>
    </w:p>
    <w:p>
      <w:pPr>
        <w:spacing w:after="120"/>
      </w:pPr>
      <w:r>
        <w:t xml:space="preserve">Clear ownership prevents the gaps that attackers exploit. Assign each role to a named individual or function and document escalation paths.</w:t>
      </w:r>
    </w:p>
    <w:p>
      <w:pPr>
        <w:pStyle w:val="Heading2"/>
        <w:spacing w:after="80" w:before="240"/>
      </w:pPr>
      <w:r>
        <w:rPr>
          <w:b/>
          <w:bCs/>
        </w:rPr>
        <w:t xml:space="preserve">Role 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shd w:fill="1A2436" w:color="auto" w:val="solid"/>
          </w:tcPr>
          <w:p>
            <w:r>
              <w:rPr>
                <w:b/>
                <w:bCs/>
                <w:color w:val="E8EEF5"/>
              </w:rPr>
              <w:t xml:space="preserve">Role</w:t>
            </w:r>
          </w:p>
        </w:tc>
        <w:tc>
          <w:tcPr>
            <w:shd w:fill="1A2436" w:color="auto" w:val="solid"/>
          </w:tcPr>
          <w:p>
            <w:r>
              <w:rPr>
                <w:b/>
                <w:bCs/>
                <w:color w:val="E8EEF5"/>
              </w:rPr>
              <w:t xml:space="preserve">Core cybersecurity responsibilities</w:t>
            </w:r>
          </w:p>
        </w:tc>
      </w:tr>
      <w:tr>
        <w:tc>
          <w:p>
            <w:r>
              <w:t xml:space="preserve">Board of directors</w:t>
            </w:r>
          </w:p>
        </w:tc>
        <w:tc>
          <w:p>
            <w:r>
              <w:t xml:space="preserve">Approve risk appetite and security strategy; oversee cyber risk as enterprise risk; review metrics and material incidents; ensure budget and independent assurance.</w:t>
            </w:r>
          </w:p>
        </w:tc>
      </w:tr>
      <w:tr>
        <w:tc>
          <w:p>
            <w:r>
              <w:t xml:space="preserve">Executive sponsor / CEO</w:t>
            </w:r>
          </w:p>
        </w:tc>
        <w:tc>
          <w:p>
            <w:r>
              <w:t xml:space="preserve">Own enterprise cyber risk outcomes; approve policy; authorize major spending and incident decisions; communicate security priorities to the workforce.</w:t>
            </w:r>
          </w:p>
        </w:tc>
      </w:tr>
      <w:tr>
        <w:tc>
          <w:p>
            <w:r>
              <w:t xml:space="preserve">CISO / security lead</w:t>
            </w:r>
          </w:p>
        </w:tc>
        <w:tc>
          <w:p>
            <w:r>
              <w:t xml:space="preserve">Operate the security program; maintain policy, controls, risk register, metrics; lead detection, response, and reporting; advise the board and executives.</w:t>
            </w:r>
          </w:p>
        </w:tc>
      </w:tr>
      <w:tr>
        <w:tc>
          <w:p>
            <w:r>
              <w:t xml:space="preserve">CIO / IT lead</w:t>
            </w:r>
          </w:p>
        </w:tc>
        <w:tc>
          <w:p>
            <w:r>
              <w:t xml:space="preserve">Deliver secure infrastructure, identity, patching, backups, logging, and change management; partner with security on control implementation.</w:t>
            </w:r>
          </w:p>
        </w:tc>
      </w:tr>
      <w:tr>
        <w:tc>
          <w:p>
            <w:r>
              <w:t xml:space="preserve">Legal and privacy counsel</w:t>
            </w:r>
          </w:p>
        </w:tc>
        <w:tc>
          <w:p>
            <w:r>
              <w:t xml:space="preserve">Advise on obligations, privilege, contracts, notifications, records, privacy, and regulatory exposure.</w:t>
            </w:r>
          </w:p>
        </w:tc>
      </w:tr>
      <w:tr>
        <w:tc>
          <w:p>
            <w:r>
              <w:t xml:space="preserve">Human resources</w:t>
            </w:r>
          </w:p>
        </w:tc>
        <w:tc>
          <w:p>
            <w:r>
              <w:t xml:space="preserve">Embed security in onboarding/offboarding, workforce conduct, training, and insider-risk handling.</w:t>
            </w:r>
          </w:p>
        </w:tc>
      </w:tr>
      <w:tr>
        <w:tc>
          <w:p>
            <w:r>
              <w:t xml:space="preserve">Communications lead</w:t>
            </w:r>
          </w:p>
        </w:tc>
        <w:tc>
          <w:p>
            <w:r>
              <w:t xml:space="preserve">Prepare internal, customer, partner, and public messaging for incidents and security initiatives.</w:t>
            </w:r>
          </w:p>
        </w:tc>
      </w:tr>
      <w:tr>
        <w:tc>
          <w:p>
            <w:r>
              <w:t xml:space="preserve">Procurement / vendor management</w:t>
            </w:r>
          </w:p>
        </w:tc>
        <w:tc>
          <w:p>
            <w:r>
              <w:t xml:space="preserve">Enforce third-party security requirements, contract clauses, and vendor risk reviews.</w:t>
            </w:r>
          </w:p>
        </w:tc>
      </w:tr>
      <w:tr>
        <w:tc>
          <w:p>
            <w:r>
              <w:t xml:space="preserve">Business owners</w:t>
            </w:r>
          </w:p>
        </w:tc>
        <w:tc>
          <w:p>
            <w:r>
              <w:t xml:space="preserve">Own risk decisions for their systems and data; fund remediation; prioritize services for recovery.</w:t>
            </w:r>
          </w:p>
        </w:tc>
      </w:tr>
      <w:tr>
        <w:tc>
          <w:p>
            <w:r>
              <w:t xml:space="preserve">Internal audit</w:t>
            </w:r>
          </w:p>
        </w:tc>
        <w:tc>
          <w:p>
            <w:r>
              <w:t xml:space="preserve">Provide independent assurance over control effectiveness and program maturity.</w:t>
            </w:r>
          </w:p>
        </w:tc>
      </w:tr>
    </w:tbl>
    <w:p>
      <w:pPr>
        <w:pStyle w:val="Heading1"/>
        <w:spacing w:after="120" w:before="300"/>
      </w:pPr>
      <w:r>
        <w:rPr>
          <w:b/>
          <w:bCs/>
        </w:rPr>
        <w:t xml:space="preserve">4. Operating Schedule</w:t>
      </w:r>
    </w:p>
    <w:p>
      <w:pPr>
        <w:spacing w:after="120"/>
      </w:pPr>
      <w:r>
        <w:t xml:space="preserve">Security is sustained through a predictable operating rhythm. The following minimum cadence aligns to CIS Controls v8.1, CISA guidance, and common corporate governance practice. Increase frequency where risk warrants.</w:t>
      </w:r>
    </w:p>
    <w:p>
      <w:pPr>
        <w:pStyle w:val="Heading2"/>
        <w:spacing w:after="80" w:before="240"/>
      </w:pPr>
      <w:r>
        <w:rPr>
          <w:b/>
          <w:bCs/>
        </w:rPr>
        <w:t xml:space="preserve">Recommended operating cadence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1A2436" w:color="auto" w:val="solid"/>
          </w:tcPr>
          <w:p>
            <w:r>
              <w:rPr>
                <w:b/>
                <w:bCs/>
                <w:color w:val="E8EEF5"/>
              </w:rPr>
              <w:t xml:space="preserve">Activity</w:t>
            </w:r>
          </w:p>
        </w:tc>
        <w:tc>
          <w:tcPr>
            <w:shd w:fill="1A2436" w:color="auto" w:val="solid"/>
          </w:tcPr>
          <w:p>
            <w:r>
              <w:rPr>
                <w:b/>
                <w:bCs/>
                <w:color w:val="E8EEF5"/>
              </w:rPr>
              <w:t xml:space="preserve">Minimum frequency</w:t>
            </w:r>
          </w:p>
        </w:tc>
        <w:tc>
          <w:tcPr>
            <w:shd w:fill="1A2436" w:color="auto" w:val="solid"/>
          </w:tcPr>
          <w:p>
            <w:r>
              <w:rPr>
                <w:b/>
                <w:bCs/>
                <w:color w:val="E8EEF5"/>
              </w:rPr>
              <w:t xml:space="preserve">Owner</w:t>
            </w:r>
          </w:p>
        </w:tc>
      </w:tr>
      <w:tr>
        <w:tc>
          <w:p>
            <w:r>
              <w:t xml:space="preserve">Internal automated vulnerability scans</w:t>
            </w:r>
          </w:p>
        </w:tc>
        <w:tc>
          <w:p>
            <w:r>
              <w:t xml:space="preserve">Quarterly (monthly for higher-risk environments)</w:t>
            </w:r>
          </w:p>
        </w:tc>
        <w:tc>
          <w:p>
            <w:r>
              <w:t xml:space="preserve">Security / IT</w:t>
            </w:r>
          </w:p>
        </w:tc>
      </w:tr>
      <w:tr>
        <w:tc>
          <w:p>
            <w:r>
              <w:t xml:space="preserve">External vulnerability scans</w:t>
            </w:r>
          </w:p>
        </w:tc>
        <w:tc>
          <w:p>
            <w:r>
              <w:t xml:space="preserve">Monthly</w:t>
            </w:r>
          </w:p>
        </w:tc>
        <w:tc>
          <w:p>
            <w:r>
              <w:t xml:space="preserve">Security / IT</w:t>
            </w:r>
          </w:p>
        </w:tc>
      </w:tr>
      <w:tr>
        <w:tc>
          <w:p>
            <w:r>
              <w:t xml:space="preserve">Vulnerability remediation activity review</w:t>
            </w:r>
          </w:p>
        </w:tc>
        <w:tc>
          <w:p>
            <w:r>
              <w:t xml:space="preserve">Monthly</w:t>
            </w:r>
          </w:p>
        </w:tc>
        <w:tc>
          <w:p>
            <w:r>
              <w:t xml:space="preserve">Security / IT</w:t>
            </w:r>
          </w:p>
        </w:tc>
      </w:tr>
      <w:tr>
        <w:tc>
          <w:p>
            <w:r>
              <w:t xml:space="preserve">Security patching (critical and high)</w:t>
            </w:r>
          </w:p>
        </w:tc>
        <w:tc>
          <w:p>
            <w:r>
              <w:t xml:space="preserve">Per vulnerability deadlines (see Section 5)</w:t>
            </w:r>
          </w:p>
        </w:tc>
        <w:tc>
          <w:p>
            <w:r>
              <w:t xml:space="preserve">IT operations</w:t>
            </w:r>
          </w:p>
        </w:tc>
      </w:tr>
      <w:tr>
        <w:tc>
          <w:p>
            <w:r>
              <w:t xml:space="preserve">Privileged access reviews</w:t>
            </w:r>
          </w:p>
        </w:tc>
        <w:tc>
          <w:p>
            <w:r>
              <w:t xml:space="preserve">Quarterly</w:t>
            </w:r>
          </w:p>
        </w:tc>
        <w:tc>
          <w:p>
            <w:r>
              <w:t xml:space="preserve">IT / Security</w:t>
            </w:r>
          </w:p>
        </w:tc>
      </w:tr>
      <w:tr>
        <w:tc>
          <w:p>
            <w:r>
              <w:t xml:space="preserve">User access reviews</w:t>
            </w:r>
          </w:p>
        </w:tc>
        <w:tc>
          <w:p>
            <w:r>
              <w:t xml:space="preserve">At least semi-annually</w:t>
            </w:r>
          </w:p>
        </w:tc>
        <w:tc>
          <w:p>
            <w:r>
              <w:t xml:space="preserve">Business owners / IT</w:t>
            </w:r>
          </w:p>
        </w:tc>
      </w:tr>
      <w:tr>
        <w:tc>
          <w:p>
            <w:r>
              <w:t xml:space="preserve">Backup restore tests</w:t>
            </w:r>
          </w:p>
        </w:tc>
        <w:tc>
          <w:p>
            <w:r>
              <w:t xml:space="preserve">Quarterly per critical system</w:t>
            </w:r>
          </w:p>
        </w:tc>
        <w:tc>
          <w:p>
            <w:r>
              <w:t xml:space="preserve">IT operations</w:t>
            </w:r>
          </w:p>
        </w:tc>
      </w:tr>
      <w:tr>
        <w:tc>
          <w:p>
            <w:r>
              <w:t xml:space="preserve">Recovery / disaster recovery exercise</w:t>
            </w:r>
          </w:p>
        </w:tc>
        <w:tc>
          <w:p>
            <w:r>
              <w:t xml:space="preserve">Annually</w:t>
            </w:r>
          </w:p>
        </w:tc>
        <w:tc>
          <w:p>
            <w:r>
              <w:t xml:space="preserve">IT / Business continuity</w:t>
            </w:r>
          </w:p>
        </w:tc>
      </w:tr>
      <w:tr>
        <w:tc>
          <w:p>
            <w:r>
              <w:t xml:space="preserve">Security awareness training</w:t>
            </w:r>
          </w:p>
        </w:tc>
        <w:tc>
          <w:p>
            <w:r>
              <w:t xml:space="preserve">On hire and annually</w:t>
            </w:r>
          </w:p>
        </w:tc>
        <w:tc>
          <w:p>
            <w:r>
              <w:t xml:space="preserve">HR / Security</w:t>
            </w:r>
          </w:p>
        </w:tc>
      </w:tr>
      <w:tr>
        <w:tc>
          <w:p>
            <w:r>
              <w:t xml:space="preserve">Phishing simulations</w:t>
            </w:r>
          </w:p>
        </w:tc>
        <w:tc>
          <w:p>
            <w:r>
              <w:t xml:space="preserve">At least quarterly</w:t>
            </w:r>
          </w:p>
        </w:tc>
        <w:tc>
          <w:p>
            <w:r>
              <w:t xml:space="preserve">Security</w:t>
            </w:r>
          </w:p>
        </w:tc>
      </w:tr>
      <w:tr>
        <w:tc>
          <w:p>
            <w:r>
              <w:t xml:space="preserve">Third-party / vendor security reviews</w:t>
            </w:r>
          </w:p>
        </w:tc>
        <w:tc>
          <w:p>
            <w:r>
              <w:t xml:space="preserve">Annually and at onboarding</w:t>
            </w:r>
          </w:p>
        </w:tc>
        <w:tc>
          <w:p>
            <w:r>
              <w:t xml:space="preserve">Procurement / Security</w:t>
            </w:r>
          </w:p>
        </w:tc>
      </w:tr>
      <w:tr>
        <w:tc>
          <w:p>
            <w:r>
              <w:t xml:space="preserve">Penetration testing</w:t>
            </w:r>
          </w:p>
        </w:tc>
        <w:tc>
          <w:p>
            <w:r>
              <w:t xml:space="preserve">Annually and after major changes</w:t>
            </w:r>
          </w:p>
        </w:tc>
        <w:tc>
          <w:p>
            <w:r>
              <w:t xml:space="preserve">Security</w:t>
            </w:r>
          </w:p>
        </w:tc>
      </w:tr>
      <w:tr>
        <w:tc>
          <w:p>
            <w:r>
              <w:t xml:space="preserve">Executive cyber risk reporting</w:t>
            </w:r>
          </w:p>
        </w:tc>
        <w:tc>
          <w:p>
            <w:r>
              <w:t xml:space="preserve">Quarterly</w:t>
            </w:r>
          </w:p>
        </w:tc>
        <w:tc>
          <w:p>
            <w:r>
              <w:t xml:space="preserve">CISO</w:t>
            </w:r>
          </w:p>
        </w:tc>
      </w:tr>
      <w:tr>
        <w:tc>
          <w:p>
            <w:r>
              <w:t xml:space="preserve">Board cyber risk reporting</w:t>
            </w:r>
          </w:p>
        </w:tc>
        <w:tc>
          <w:p>
            <w:r>
              <w:t xml:space="preserve">At least semi-annually</w:t>
            </w:r>
          </w:p>
        </w:tc>
        <w:tc>
          <w:p>
            <w:r>
              <w:t xml:space="preserve">CISO / Executive sponsor</w:t>
            </w:r>
          </w:p>
        </w:tc>
      </w:tr>
      <w:tr>
        <w:tc>
          <w:p>
            <w:r>
              <w:t xml:space="preserve">Tabletop exercises</w:t>
            </w:r>
          </w:p>
        </w:tc>
        <w:tc>
          <w:p>
            <w:r>
              <w:t xml:space="preserve">Annually (semi-annually for higher-risk)</w:t>
            </w:r>
          </w:p>
        </w:tc>
        <w:tc>
          <w:p>
            <w:r>
              <w:t xml:space="preserve">Security / Business continuity</w:t>
            </w:r>
          </w:p>
        </w:tc>
      </w:tr>
    </w:tbl>
    <w:p>
      <w:pPr>
        <w:pStyle w:val="Heading1"/>
        <w:spacing w:after="120" w:before="300"/>
      </w:pPr>
      <w:r>
        <w:rPr>
          <w:b/>
          <w:bCs/>
        </w:rPr>
        <w:t xml:space="preserve">5. Vulnerability Management Standard</w:t>
      </w:r>
    </w:p>
    <w:p>
      <w:pPr>
        <w:spacing w:after="120"/>
      </w:pPr>
      <w:r>
        <w:t xml:space="preserve">Maintain continuous visibility of weaknesses and remediate within risk-based deadlines. CIS recommends internal automated vulnerability scans at least quarterly, external scans at least monthly, and vulnerability remediation activity at least monthly, with greater frequency where risk warrants.</w:t>
      </w:r>
    </w:p>
    <w:p>
      <w:pPr>
        <w:pStyle w:val="Heading2"/>
        <w:spacing w:after="80" w:before="240"/>
      </w:pPr>
      <w:r>
        <w:rPr>
          <w:b/>
          <w:bCs/>
        </w:rPr>
        <w:t xml:space="preserve">Model remediation deadlines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1A2436" w:color="auto" w:val="solid"/>
          </w:tcPr>
          <w:p>
            <w:r>
              <w:rPr>
                <w:b/>
                <w:bCs/>
                <w:color w:val="E8EEF5"/>
              </w:rPr>
              <w:t xml:space="preserve">Risk rating</w:t>
            </w:r>
          </w:p>
        </w:tc>
        <w:tc>
          <w:tcPr>
            <w:shd w:fill="1A2436" w:color="auto" w:val="solid"/>
          </w:tcPr>
          <w:p>
            <w:r>
              <w:rPr>
                <w:b/>
                <w:bCs/>
                <w:color w:val="E8EEF5"/>
              </w:rPr>
              <w:t xml:space="preserve">Model remediation deadline</w:t>
            </w:r>
          </w:p>
        </w:tc>
        <w:tc>
          <w:tcPr>
            <w:shd w:fill="1A2436" w:color="auto" w:val="solid"/>
          </w:tcPr>
          <w:p>
            <w:r>
              <w:rPr>
                <w:b/>
                <w:bCs/>
                <w:color w:val="E8EEF5"/>
              </w:rPr>
              <w:t xml:space="preserve">Notes</w:t>
            </w:r>
          </w:p>
        </w:tc>
      </w:tr>
      <w:tr>
        <w:tc>
          <w:p>
            <w:r>
              <w:t xml:space="preserve">Critical</w:t>
            </w:r>
          </w:p>
        </w:tc>
        <w:tc>
          <w:p>
            <w:r>
              <w:t xml:space="preserve">Within 7 days of validation</w:t>
            </w:r>
          </w:p>
        </w:tc>
        <w:tc>
          <w:p>
            <w:r>
              <w:t xml:space="preserve">Internet-facing or exploited-in-the-wild vulnerabilities; emergency change path.</w:t>
            </w:r>
          </w:p>
        </w:tc>
      </w:tr>
      <w:tr>
        <w:tc>
          <w:p>
            <w:r>
              <w:t xml:space="preserve">High</w:t>
            </w:r>
          </w:p>
        </w:tc>
        <w:tc>
          <w:p>
            <w:r>
              <w:t xml:space="preserve">Within 30 days</w:t>
            </w:r>
          </w:p>
        </w:tc>
        <w:tc>
          <w:p>
            <w:r>
              <w:t xml:space="preserve">Significant exposure to important systems or privileged access.</w:t>
            </w:r>
          </w:p>
        </w:tc>
      </w:tr>
      <w:tr>
        <w:tc>
          <w:p>
            <w:r>
              <w:t xml:space="preserve">Medium</w:t>
            </w:r>
          </w:p>
        </w:tc>
        <w:tc>
          <w:p>
            <w:r>
              <w:t xml:space="preserve">Within 90 days</w:t>
            </w:r>
          </w:p>
        </w:tc>
        <w:tc>
          <w:p>
            <w:r>
              <w:t xml:space="preserve">Limited exposure or mitigated by compensating controls.</w:t>
            </w:r>
          </w:p>
        </w:tc>
      </w:tr>
      <w:tr>
        <w:tc>
          <w:p>
            <w:r>
              <w:t xml:space="preserve">Low</w:t>
            </w:r>
          </w:p>
        </w:tc>
        <w:tc>
          <w:p>
            <w:r>
              <w:t xml:space="preserve">Within 180 days or accept via risk register</w:t>
            </w:r>
          </w:p>
        </w:tc>
        <w:tc>
          <w:p>
            <w:r>
              <w:t xml:space="preserve">Track to closure; document acceptance and owner.</w:t>
            </w:r>
          </w:p>
        </w:tc>
      </w:tr>
    </w:tbl>
    <w:p>
      <w:pPr>
        <w:pStyle w:val="Heading2"/>
        <w:spacing w:after="80" w:before="240"/>
      </w:pPr>
      <w:r>
        <w:rPr>
          <w:b/>
          <w:bCs/>
        </w:rPr>
        <w:t xml:space="preserve">Operating requirements</w:t>
      </w:r>
    </w:p>
    <w:p>
      <w:pPr>
        <w:pStyle w:val="ListParagraph"/>
        <w:numPr>
          <w:ilvl w:val="0"/>
          <w:numId w:val="1"/>
        </w:numPr>
      </w:pPr>
      <w:r>
        <w:t xml:space="preserve">Maintain an authoritative asset, identity, and application inventory to scope scans accurately.</w:t>
      </w:r>
    </w:p>
    <w:p>
      <w:pPr>
        <w:pStyle w:val="ListParagraph"/>
        <w:numPr>
          <w:ilvl w:val="0"/>
          <w:numId w:val="1"/>
        </w:numPr>
      </w:pPr>
      <w:r>
        <w:t xml:space="preserve">Run authenticated internal scans and external scans on the cadence in Section 4.</w:t>
      </w:r>
    </w:p>
    <w:p>
      <w:pPr>
        <w:pStyle w:val="ListParagraph"/>
        <w:numPr>
          <w:ilvl w:val="0"/>
          <w:numId w:val="1"/>
        </w:numPr>
      </w:pPr>
      <w:r>
        <w:t xml:space="preserve">Triage findings, assign owners, and track to closure in a single register.</w:t>
      </w:r>
    </w:p>
    <w:p>
      <w:pPr>
        <w:pStyle w:val="ListParagraph"/>
        <w:numPr>
          <w:ilvl w:val="0"/>
          <w:numId w:val="1"/>
        </w:numPr>
      </w:pPr>
      <w:r>
        <w:t xml:space="preserve">Risk-accept exceptions in writing with an owner and review date; do not let them persist silently.</w:t>
      </w:r>
    </w:p>
    <w:p>
      <w:pPr>
        <w:pStyle w:val="ListParagraph"/>
        <w:numPr>
          <w:ilvl w:val="0"/>
          <w:numId w:val="1"/>
        </w:numPr>
      </w:pPr>
      <w:r>
        <w:t xml:space="preserve">Prioritize internet-facing, public-exploit, and privileged-access exposure.</w:t>
      </w:r>
    </w:p>
    <w:p>
      <w:pPr>
        <w:pStyle w:val="ListParagraph"/>
        <w:numPr>
          <w:ilvl w:val="0"/>
          <w:numId w:val="1"/>
        </w:numPr>
      </w:pPr>
      <w:r>
        <w:t xml:space="preserve">Verify remediation with a re-scan before closing a finding.</w:t>
      </w:r>
    </w:p>
    <w:p>
      <w:pPr>
        <w:pStyle w:val="Heading1"/>
        <w:spacing w:after="120" w:before="300"/>
      </w:pPr>
      <w:r>
        <w:rPr>
          <w:b/>
          <w:bCs/>
        </w:rPr>
        <w:t xml:space="preserve">6. Tabletop Exercise Program</w:t>
      </w:r>
    </w:p>
    <w:p>
      <w:pPr>
        <w:spacing w:after="120"/>
      </w:pPr>
      <w:r>
        <w:t xml:space="preserve">Tabletop exercises test people, decisions, and communications under pressure. Run at least annually, and after major technology or business changes. Higher-risk organizations should run them semi-annually and rotate scenarios.</w:t>
      </w:r>
    </w:p>
    <w:p>
      <w:pPr>
        <w:pStyle w:val="Heading2"/>
        <w:spacing w:after="80" w:before="240"/>
      </w:pPr>
      <w:r>
        <w:rPr>
          <w:b/>
          <w:bCs/>
        </w:rPr>
        <w:t xml:space="preserve">Program requirements</w:t>
      </w:r>
    </w:p>
    <w:p>
      <w:pPr>
        <w:pStyle w:val="ListParagraph"/>
        <w:numPr>
          <w:ilvl w:val="0"/>
          <w:numId w:val="1"/>
        </w:numPr>
      </w:pPr>
      <w:r>
        <w:t xml:space="preserve">Define objectives, scope, participants, and a facilitator before each exercise.</w:t>
      </w:r>
    </w:p>
    <w:p>
      <w:pPr>
        <w:pStyle w:val="ListParagraph"/>
        <w:numPr>
          <w:ilvl w:val="0"/>
          <w:numId w:val="1"/>
        </w:numPr>
      </w:pPr>
      <w:r>
        <w:t xml:space="preserve">Rotate scenarios: ransomware, business email compromise, cloud compromise, data theft, destructive attack, and third-party failure.</w:t>
      </w:r>
    </w:p>
    <w:p>
      <w:pPr>
        <w:pStyle w:val="ListParagraph"/>
        <w:numPr>
          <w:ilvl w:val="0"/>
          <w:numId w:val="1"/>
        </w:numPr>
      </w:pPr>
      <w:r>
        <w:t xml:space="preserve">Include executives, legal, communications, IT, security, HR, and business owners where relevant.</w:t>
      </w:r>
    </w:p>
    <w:p>
      <w:pPr>
        <w:pStyle w:val="ListParagraph"/>
        <w:numPr>
          <w:ilvl w:val="0"/>
          <w:numId w:val="1"/>
        </w:numPr>
      </w:pPr>
      <w:r>
        <w:t xml:space="preserve">Capture decisions, gaps, and timings; produce an after-action report (see Section 13).</w:t>
      </w:r>
    </w:p>
    <w:p>
      <w:pPr>
        <w:pStyle w:val="ListParagraph"/>
        <w:numPr>
          <w:ilvl w:val="0"/>
          <w:numId w:val="1"/>
        </w:numPr>
      </w:pPr>
      <w:r>
        <w:t xml:space="preserve">Convert lessons into corrective actions with owners and due dates; track to closure.</w:t>
      </w:r>
    </w:p>
    <w:p>
      <w:pPr>
        <w:pStyle w:val="Heading2"/>
        <w:spacing w:after="80" w:before="240"/>
      </w:pPr>
      <w:r>
        <w:rPr>
          <w:b/>
          <w:bCs/>
        </w:rPr>
        <w:t xml:space="preserve">Exercise questions</w:t>
      </w:r>
    </w:p>
    <w:p>
      <w:pPr>
        <w:pStyle w:val="ListParagraph"/>
        <w:numPr>
          <w:ilvl w:val="0"/>
          <w:numId w:val="1"/>
        </w:numPr>
      </w:pPr>
      <w:r>
        <w:t xml:space="preserve">Who declares an incident, and how is the team activated after hours?</w:t>
      </w:r>
    </w:p>
    <w:p>
      <w:pPr>
        <w:pStyle w:val="ListParagraph"/>
        <w:numPr>
          <w:ilvl w:val="0"/>
          <w:numId w:val="1"/>
        </w:numPr>
      </w:pPr>
      <w:r>
        <w:t xml:space="preserve">How do we communicate if email or identity systems are compromised?</w:t>
      </w:r>
    </w:p>
    <w:p>
      <w:pPr>
        <w:pStyle w:val="ListParagraph"/>
        <w:numPr>
          <w:ilvl w:val="0"/>
          <w:numId w:val="1"/>
        </w:numPr>
      </w:pPr>
      <w:r>
        <w:t xml:space="preserve">What is our decision path for isolating critical systems or paying extortion?</w:t>
      </w:r>
    </w:p>
    <w:p>
      <w:pPr>
        <w:pStyle w:val="ListParagraph"/>
        <w:numPr>
          <w:ilvl w:val="0"/>
          <w:numId w:val="1"/>
        </w:numPr>
      </w:pPr>
      <w:r>
        <w:t xml:space="preserve">How quickly can we restore identity and critical services from trusted backups?</w:t>
      </w:r>
    </w:p>
    <w:p>
      <w:pPr>
        <w:pStyle w:val="ListParagraph"/>
        <w:numPr>
          <w:ilvl w:val="0"/>
          <w:numId w:val="1"/>
        </w:numPr>
      </w:pPr>
      <w:r>
        <w:t xml:space="preserve">Who notifies the insurer, counsel, customers, regulators, and law enforcement, and within what deadlines?</w:t>
      </w:r>
    </w:p>
    <w:p>
      <w:pPr>
        <w:pStyle w:val="ListParagraph"/>
        <w:numPr>
          <w:ilvl w:val="0"/>
          <w:numId w:val="1"/>
        </w:numPr>
      </w:pPr>
      <w:r>
        <w:t xml:space="preserve">What evidence do we preserve, and how do we maintain chain of custody?</w:t>
      </w:r>
    </w:p>
    <w:p>
      <w:pPr>
        <w:pStyle w:val="ListParagraph"/>
        <w:numPr>
          <w:ilvl w:val="0"/>
          <w:numId w:val="1"/>
        </w:numPr>
      </w:pPr>
      <w:r>
        <w:t xml:space="preserve">What manual workarounds keep safety- and revenue-critical operations running?</w:t>
      </w:r>
    </w:p>
    <w:p>
      <w:pPr>
        <w:pStyle w:val="ListParagraph"/>
        <w:numPr>
          <w:ilvl w:val="0"/>
          <w:numId w:val="1"/>
        </w:numPr>
      </w:pPr>
      <w:r>
        <w:t xml:space="preserve">How do we validate the attacker is gone before restoring production?</w:t>
      </w:r>
    </w:p>
    <w:p>
      <w:pPr>
        <w:pStyle w:val="Heading1"/>
        <w:spacing w:after="120" w:before="300"/>
      </w:pPr>
      <w:r>
        <w:rPr>
          <w:b/>
          <w:bCs/>
        </w:rPr>
        <w:t xml:space="preserve">7. Incident Response, Ransomware, Backup, and Recovery</w:t>
      </w:r>
    </w:p>
    <w:p>
      <w:pPr>
        <w:spacing w:after="120"/>
      </w:pPr>
      <w:r>
        <w:t xml:space="preserve">Incident response, ransomware readiness, crisis management, backups, and recovery are interdependent. Align them to NIST SP 800-61 Rev. 3 and CISA StopRansomware guidance. The CCSP Incident Response Fundamentals guide provides the detailed playbook.</w:t>
      </w:r>
    </w:p>
    <w:p>
      <w:pPr>
        <w:pStyle w:val="Heading2"/>
        <w:spacing w:after="80" w:before="240"/>
      </w:pPr>
      <w:r>
        <w:rPr>
          <w:b/>
          <w:bCs/>
        </w:rPr>
        <w:t xml:space="preserve">Incident response requirements</w:t>
      </w:r>
    </w:p>
    <w:p>
      <w:pPr>
        <w:pStyle w:val="ListParagraph"/>
        <w:numPr>
          <w:ilvl w:val="0"/>
          <w:numId w:val="1"/>
        </w:numPr>
      </w:pPr>
      <w:r>
        <w:t xml:space="preserve">Maintain an approved incident response plan with clear activation criteria and a 24x7 reporting path.</w:t>
      </w:r>
    </w:p>
    <w:p>
      <w:pPr>
        <w:pStyle w:val="ListParagraph"/>
        <w:numPr>
          <w:ilvl w:val="0"/>
          <w:numId w:val="1"/>
        </w:numPr>
      </w:pPr>
      <w:r>
        <w:t xml:space="preserve">Define an incident commander, technical lead, and communications lead before an incident.</w:t>
      </w:r>
    </w:p>
    <w:p>
      <w:pPr>
        <w:pStyle w:val="ListParagraph"/>
        <w:numPr>
          <w:ilvl w:val="0"/>
          <w:numId w:val="1"/>
        </w:numPr>
      </w:pPr>
      <w:r>
        <w:t xml:space="preserve">Preserve logs with synchronized time, defined retention, and protected storage.</w:t>
      </w:r>
    </w:p>
    <w:p>
      <w:pPr>
        <w:pStyle w:val="ListParagraph"/>
        <w:numPr>
          <w:ilvl w:val="0"/>
          <w:numId w:val="1"/>
        </w:numPr>
      </w:pPr>
      <w:r>
        <w:t xml:space="preserve">Run a post-incident review after every significant incident and feed lessons into the corrective action register.</w:t>
      </w:r>
    </w:p>
    <w:p>
      <w:pPr>
        <w:pStyle w:val="Heading2"/>
        <w:spacing w:after="80" w:before="240"/>
      </w:pPr>
      <w:r>
        <w:rPr>
          <w:b/>
          <w:bCs/>
        </w:rPr>
        <w:t xml:space="preserve">Ransomware readiness</w:t>
      </w:r>
    </w:p>
    <w:p>
      <w:pPr>
        <w:pStyle w:val="ListParagraph"/>
        <w:numPr>
          <w:ilvl w:val="0"/>
          <w:numId w:val="1"/>
        </w:numPr>
      </w:pPr>
      <w:r>
        <w:t xml:space="preserve">Maintain offline or immutable backups of critical systems and test restores.</w:t>
      </w:r>
    </w:p>
    <w:p>
      <w:pPr>
        <w:pStyle w:val="ListParagraph"/>
        <w:numPr>
          <w:ilvl w:val="0"/>
          <w:numId w:val="1"/>
        </w:numPr>
      </w:pPr>
      <w:r>
        <w:t xml:space="preserve">Protect identity, backup, hypervisor, and management platforms as tier-0 assets.</w:t>
      </w:r>
    </w:p>
    <w:p>
      <w:pPr>
        <w:pStyle w:val="ListParagraph"/>
        <w:numPr>
          <w:ilvl w:val="0"/>
          <w:numId w:val="1"/>
        </w:numPr>
      </w:pPr>
      <w:r>
        <w:t xml:space="preserve">Require phishing-resistant MFA for privileged and remote access.</w:t>
      </w:r>
    </w:p>
    <w:p>
      <w:pPr>
        <w:pStyle w:val="ListParagraph"/>
        <w:numPr>
          <w:ilvl w:val="0"/>
          <w:numId w:val="1"/>
        </w:numPr>
      </w:pPr>
      <w:r>
        <w:t xml:space="preserve">Pre-negotiate contacts for breach counsel, cyber insurance, and external incident response.</w:t>
      </w:r>
    </w:p>
    <w:p>
      <w:pPr>
        <w:pStyle w:val="ListParagraph"/>
        <w:numPr>
          <w:ilvl w:val="0"/>
          <w:numId w:val="1"/>
        </w:numPr>
      </w:pPr>
      <w:r>
        <w:t xml:space="preserve">Document a ransom/extortion decision framework with defined authority.</w:t>
      </w:r>
    </w:p>
    <w:p>
      <w:pPr>
        <w:shd w:fill="F8D7DA" w:color="auto" w:val="solid"/>
        <w:spacing w:after="120" w:before="120"/>
      </w:pPr>
      <w:r>
        <w:rPr>
          <w:b/>
          <w:bCs/>
        </w:rPr>
        <w:t xml:space="preserve">Do not. </w:t>
      </w:r>
      <w:r>
        <w:t xml:space="preserve">Do not communicate with the attacker, pay funds, run unknown decryptors, or wipe systems without incident commander approval and coordination with legal counsel, insurers, and law enforcement.</w:t>
      </w:r>
    </w:p>
    <w:p>
      <w:pPr>
        <w:pStyle w:val="Heading2"/>
        <w:spacing w:after="80" w:before="240"/>
      </w:pPr>
      <w:r>
        <w:rPr>
          <w:b/>
          <w:bCs/>
        </w:rPr>
        <w:t xml:space="preserve">Crisis management</w:t>
      </w:r>
    </w:p>
    <w:p>
      <w:pPr>
        <w:pStyle w:val="ListParagraph"/>
        <w:numPr>
          <w:ilvl w:val="0"/>
          <w:numId w:val="1"/>
        </w:numPr>
      </w:pPr>
      <w:r>
        <w:t xml:space="preserve">Maintain an out-of-band communications channel independent of corporate email and identity.</w:t>
      </w:r>
    </w:p>
    <w:p>
      <w:pPr>
        <w:pStyle w:val="ListParagraph"/>
        <w:numPr>
          <w:ilvl w:val="0"/>
          <w:numId w:val="1"/>
        </w:numPr>
      </w:pPr>
      <w:r>
        <w:t xml:space="preserve">Prepare holding statements for employees, customers, partners, regulators, and media.</w:t>
      </w:r>
    </w:p>
    <w:p>
      <w:pPr>
        <w:pStyle w:val="ListParagraph"/>
        <w:numPr>
          <w:ilvl w:val="0"/>
          <w:numId w:val="1"/>
        </w:numPr>
      </w:pPr>
      <w:r>
        <w:t xml:space="preserve">Define who speaks publicly and the approval path for external statements.</w:t>
      </w:r>
    </w:p>
    <w:p>
      <w:pPr>
        <w:pStyle w:val="Heading2"/>
        <w:spacing w:after="80" w:before="240"/>
      </w:pPr>
      <w:r>
        <w:rPr>
          <w:b/>
          <w:bCs/>
        </w:rPr>
        <w:t xml:space="preserve">Backup and recovery</w:t>
      </w:r>
    </w:p>
    <w:p>
      <w:pPr>
        <w:pStyle w:val="ListParagraph"/>
        <w:numPr>
          <w:ilvl w:val="0"/>
          <w:numId w:val="1"/>
        </w:numPr>
      </w:pPr>
      <w:r>
        <w:t xml:space="preserve">Define recovery point and recovery time objectives per critical service.</w:t>
      </w:r>
    </w:p>
    <w:p>
      <w:pPr>
        <w:pStyle w:val="ListParagraph"/>
        <w:numPr>
          <w:ilvl w:val="0"/>
          <w:numId w:val="1"/>
        </w:numPr>
      </w:pPr>
      <w:r>
        <w:t xml:space="preserve">Store backups isolated from production identity and admin accounts.</w:t>
      </w:r>
    </w:p>
    <w:p>
      <w:pPr>
        <w:pStyle w:val="ListParagraph"/>
        <w:numPr>
          <w:ilvl w:val="0"/>
          <w:numId w:val="1"/>
        </w:numPr>
      </w:pPr>
      <w:r>
        <w:t xml:space="preserve">Test restores quarterly per critical system and after major changes.</w:t>
      </w:r>
    </w:p>
    <w:p>
      <w:pPr>
        <w:pStyle w:val="ListParagraph"/>
        <w:numPr>
          <w:ilvl w:val="0"/>
          <w:numId w:val="1"/>
        </w:numPr>
      </w:pPr>
      <w:r>
        <w:t xml:space="preserve">Rebuild from trusted images; do not return compromised systems to production unverified.</w:t>
      </w:r>
    </w:p>
    <w:p>
      <w:pPr>
        <w:pStyle w:val="Heading1"/>
        <w:spacing w:after="120" w:before="300"/>
      </w:pPr>
      <w:r>
        <w:rPr>
          <w:b/>
          <w:bCs/>
        </w:rPr>
        <w:t xml:space="preserve">8. Security Culture and Workforce Guidance</w:t>
      </w:r>
    </w:p>
    <w:p>
      <w:pPr>
        <w:spacing w:after="120"/>
      </w:pPr>
      <w:r>
        <w:t xml:space="preserve">Tooling alone does not create security; everyday behavior does. Build a blameless, learning culture where people report issues early.</w:t>
      </w:r>
    </w:p>
    <w:p>
      <w:pPr>
        <w:pStyle w:val="ListParagraph"/>
        <w:numPr>
          <w:ilvl w:val="0"/>
          <w:numId w:val="1"/>
        </w:numPr>
      </w:pPr>
      <w:r>
        <w:t xml:space="preserve">Train every workforce member on hire and at least annually, with role-specific content for administrators and developers.</w:t>
      </w:r>
    </w:p>
    <w:p>
      <w:pPr>
        <w:pStyle w:val="ListParagraph"/>
        <w:numPr>
          <w:ilvl w:val="0"/>
          <w:numId w:val="1"/>
        </w:numPr>
      </w:pPr>
      <w:r>
        <w:t xml:space="preserve">Run phishing simulations and coach repeat clickers rather than punish good-faith mistakes.</w:t>
      </w:r>
    </w:p>
    <w:p>
      <w:pPr>
        <w:pStyle w:val="ListParagraph"/>
        <w:numPr>
          <w:ilvl w:val="0"/>
          <w:numId w:val="1"/>
        </w:numPr>
      </w:pPr>
      <w:r>
        <w:t xml:space="preserve">Encourage fast, blameless reporting of suspicious activity and near-misses.</w:t>
      </w:r>
    </w:p>
    <w:p>
      <w:pPr>
        <w:pStyle w:val="ListParagraph"/>
        <w:numPr>
          <w:ilvl w:val="0"/>
          <w:numId w:val="1"/>
        </w:numPr>
      </w:pPr>
      <w:r>
        <w:t xml:space="preserve">Recognize employees who surface risks early.</w:t>
      </w:r>
    </w:p>
    <w:p>
      <w:pPr>
        <w:pStyle w:val="ListParagraph"/>
        <w:numPr>
          <w:ilvl w:val="0"/>
          <w:numId w:val="1"/>
        </w:numPr>
      </w:pPr>
      <w:r>
        <w:t xml:space="preserve">Embed security checkpoints into project and procurement lifecycles so it is easy to do the secure thing.</w:t>
      </w:r>
    </w:p>
    <w:p>
      <w:pPr>
        <w:pStyle w:val="ListParagraph"/>
        <w:numPr>
          <w:ilvl w:val="0"/>
          <w:numId w:val="1"/>
        </w:numPr>
      </w:pPr>
      <w:r>
        <w:t xml:space="preserve">Lead by example: executives model secure behavior and discuss cyber risk regularly.</w:t>
      </w:r>
    </w:p>
    <w:p>
      <w:pPr>
        <w:pStyle w:val="Heading1"/>
        <w:spacing w:after="120" w:before="300"/>
      </w:pPr>
      <w:r>
        <w:rPr>
          <w:b/>
          <w:bCs/>
        </w:rPr>
        <w:t xml:space="preserve">9. Third-Party and Supply-Chain Security</w:t>
      </w:r>
    </w:p>
    <w:p>
      <w:pPr>
        <w:spacing w:after="120"/>
      </w:pPr>
      <w:r>
        <w:t xml:space="preserve">Supply-chain attacks target the trust between organizations. Hold third parties to expectations equivalent to your own.</w:t>
      </w:r>
    </w:p>
    <w:p>
      <w:pPr>
        <w:pStyle w:val="ListParagraph"/>
        <w:numPr>
          <w:ilvl w:val="0"/>
          <w:numId w:val="1"/>
        </w:numPr>
      </w:pPr>
      <w:r>
        <w:t xml:space="preserve">Inventory critical vendors and the data and access they handle.</w:t>
      </w:r>
    </w:p>
    <w:p>
      <w:pPr>
        <w:pStyle w:val="ListParagraph"/>
        <w:numPr>
          <w:ilvl w:val="0"/>
          <w:numId w:val="1"/>
        </w:numPr>
      </w:pPr>
      <w:r>
        <w:t xml:space="preserve">Require security assurances in contracts: controls, breach notification timelines, audit rights, and data return or destruction.</w:t>
      </w:r>
    </w:p>
    <w:p>
      <w:pPr>
        <w:pStyle w:val="ListParagraph"/>
        <w:numPr>
          <w:ilvl w:val="0"/>
          <w:numId w:val="1"/>
        </w:numPr>
      </w:pPr>
      <w:r>
        <w:t xml:space="preserve">Review critical vendors annually and at onboarding; monitor for material changes.</w:t>
      </w:r>
    </w:p>
    <w:p>
      <w:pPr>
        <w:pStyle w:val="ListParagraph"/>
        <w:numPr>
          <w:ilvl w:val="0"/>
          <w:numId w:val="1"/>
        </w:numPr>
      </w:pPr>
      <w:r>
        <w:t xml:space="preserve">Require software suppliers to attest to secure development practices and provide a software bill of materials where appropriate.</w:t>
      </w:r>
    </w:p>
    <w:p>
      <w:pPr>
        <w:pStyle w:val="ListParagraph"/>
        <w:numPr>
          <w:ilvl w:val="0"/>
          <w:numId w:val="1"/>
        </w:numPr>
      </w:pPr>
      <w:r>
        <w:t xml:space="preserve">Limit and monitor third-party access; revoke promptly when no longer needed.</w:t>
      </w:r>
    </w:p>
    <w:p>
      <w:pPr>
        <w:pStyle w:val="Heading1"/>
        <w:spacing w:after="120" w:before="300"/>
      </w:pPr>
      <w:r>
        <w:rPr>
          <w:b/>
          <w:bCs/>
        </w:rPr>
        <w:t xml:space="preserve">10. Executive and Board Metrics</w:t>
      </w:r>
    </w:p>
    <w:p>
      <w:pPr>
        <w:spacing w:after="120"/>
      </w:pPr>
      <w:r>
        <w:t xml:space="preserve">Report a concise set of metrics that show trend, not just snapshots. Pair each metric with context and the action being taken.</w:t>
      </w:r>
    </w:p>
    <w:p>
      <w:pPr>
        <w:pStyle w:val="Heading2"/>
        <w:spacing w:after="80" w:before="240"/>
      </w:pPr>
      <w:r>
        <w:rPr>
          <w:b/>
          <w:bCs/>
        </w:rPr>
        <w:t xml:space="preserve">Recommended metrics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1A2436" w:color="auto" w:val="solid"/>
          </w:tcPr>
          <w:p>
            <w:r>
              <w:rPr>
                <w:b/>
                <w:bCs/>
                <w:color w:val="E8EEF5"/>
              </w:rPr>
              <w:t xml:space="preserve">Metric</w:t>
            </w:r>
          </w:p>
        </w:tc>
        <w:tc>
          <w:tcPr>
            <w:shd w:fill="1A2436" w:color="auto" w:val="solid"/>
          </w:tcPr>
          <w:p>
            <w:r>
              <w:rPr>
                <w:b/>
                <w:bCs/>
                <w:color w:val="E8EEF5"/>
              </w:rPr>
              <w:t xml:space="preserve">Example target / trend</w:t>
            </w:r>
          </w:p>
        </w:tc>
        <w:tc>
          <w:tcPr>
            <w:shd w:fill="1A2436" w:color="auto" w:val="solid"/>
          </w:tcPr>
          <w:p>
            <w:r>
              <w:rPr>
                <w:b/>
                <w:bCs/>
                <w:color w:val="E8EEF5"/>
              </w:rPr>
              <w:t xml:space="preserve">Reporting cadence</w:t>
            </w:r>
          </w:p>
        </w:tc>
      </w:tr>
      <w:tr>
        <w:tc>
          <w:p>
            <w:r>
              <w:t xml:space="preserve">Critical and high vulnerabilities past deadline</w:t>
            </w:r>
          </w:p>
        </w:tc>
        <w:tc>
          <w:p>
            <w:r>
              <w:t xml:space="preserve">Zero sustained; trending down</w:t>
            </w:r>
          </w:p>
        </w:tc>
        <w:tc>
          <w:p>
            <w:r>
              <w:t xml:space="preserve">Monthly</w:t>
            </w:r>
          </w:p>
        </w:tc>
      </w:tr>
      <w:tr>
        <w:tc>
          <w:p>
            <w:r>
              <w:t xml:space="preserve">Mean time to patch (critical)</w:t>
            </w:r>
          </w:p>
        </w:tc>
        <w:tc>
          <w:p>
            <w:r>
              <w:t xml:space="preserve">Within deadline; decreasing</w:t>
            </w:r>
          </w:p>
        </w:tc>
        <w:tc>
          <w:p>
            <w:r>
              <w:t xml:space="preserve">Monthly</w:t>
            </w:r>
          </w:p>
        </w:tc>
      </w:tr>
      <w:tr>
        <w:tc>
          <w:p>
            <w:r>
              <w:t xml:space="preserve">Phishing simulation click rate</w:t>
            </w:r>
          </w:p>
        </w:tc>
        <w:tc>
          <w:p>
            <w:r>
              <w:t xml:space="preserve">Decreasing; below industry baseline</w:t>
            </w:r>
          </w:p>
        </w:tc>
        <w:tc>
          <w:p>
            <w:r>
              <w:t xml:space="preserve">Quarterly</w:t>
            </w:r>
          </w:p>
        </w:tc>
      </w:tr>
      <w:tr>
        <w:tc>
          <w:p>
            <w:r>
              <w:t xml:space="preserve">MFA coverage (especially privileged)</w:t>
            </w:r>
          </w:p>
        </w:tc>
        <w:tc>
          <w:p>
            <w:r>
              <w:t xml:space="preserve">100% of privileged accounts</w:t>
            </w:r>
          </w:p>
        </w:tc>
        <w:tc>
          <w:p>
            <w:r>
              <w:t xml:space="preserve">Quarterly</w:t>
            </w:r>
          </w:p>
        </w:tc>
      </w:tr>
      <w:tr>
        <w:tc>
          <w:p>
            <w:r>
              <w:t xml:space="preserve">Backup restore test success rate</w:t>
            </w:r>
          </w:p>
        </w:tc>
        <w:tc>
          <w:p>
            <w:r>
              <w:t xml:space="preserve">100% of scheduled tests pass</w:t>
            </w:r>
          </w:p>
        </w:tc>
        <w:tc>
          <w:p>
            <w:r>
              <w:t xml:space="preserve">Quarterly</w:t>
            </w:r>
          </w:p>
        </w:tc>
      </w:tr>
      <w:tr>
        <w:tc>
          <w:p>
            <w:r>
              <w:t xml:space="preserve">Tabletop exercises completed</w:t>
            </w:r>
          </w:p>
        </w:tc>
        <w:tc>
          <w:p>
            <w:r>
              <w:t xml:space="preserve">At least one per year per scenario</w:t>
            </w:r>
          </w:p>
        </w:tc>
        <w:tc>
          <w:p>
            <w:r>
              <w:t xml:space="preserve">Annually</w:t>
            </w:r>
          </w:p>
        </w:tc>
      </w:tr>
      <w:tr>
        <w:tc>
          <w:p>
            <w:r>
              <w:t xml:space="preserve">Third-party security reviews completed</w:t>
            </w:r>
          </w:p>
        </w:tc>
        <w:tc>
          <w:p>
            <w:r>
              <w:t xml:space="preserve">100% of critical vendors</w:t>
            </w:r>
          </w:p>
        </w:tc>
        <w:tc>
          <w:p>
            <w:r>
              <w:t xml:space="preserve">Annually</w:t>
            </w:r>
          </w:p>
        </w:tc>
      </w:tr>
      <w:tr>
        <w:tc>
          <w:p>
            <w:r>
              <w:t xml:space="preserve">Mean time to detect / contain (from exercises)</w:t>
            </w:r>
          </w:p>
        </w:tc>
        <w:tc>
          <w:p>
            <w:r>
              <w:t xml:space="preserve">Decreasing</w:t>
            </w:r>
          </w:p>
        </w:tc>
        <w:tc>
          <w:p>
            <w:r>
              <w:t xml:space="preserve">Per exercise</w:t>
            </w:r>
          </w:p>
        </w:tc>
      </w:tr>
      <w:tr>
        <w:tc>
          <w:p>
            <w:r>
              <w:t xml:space="preserve">Open corrective actions past due</w:t>
            </w:r>
          </w:p>
        </w:tc>
        <w:tc>
          <w:p>
            <w:r>
              <w:t xml:space="preserve">Zero sustained</w:t>
            </w:r>
          </w:p>
        </w:tc>
        <w:tc>
          <w:p>
            <w:r>
              <w:t xml:space="preserve">Monthly</w:t>
            </w:r>
          </w:p>
        </w:tc>
      </w:tr>
      <w:tr>
        <w:tc>
          <w:p>
            <w:r>
              <w:t xml:space="preserve">Material risk register changes</w:t>
            </w:r>
          </w:p>
        </w:tc>
        <w:tc>
          <w:p>
            <w:r>
              <w:t xml:space="preserve">Reviewed and accepted</w:t>
            </w:r>
          </w:p>
        </w:tc>
        <w:tc>
          <w:p>
            <w:r>
              <w:t xml:space="preserve">Quarterly</w:t>
            </w:r>
          </w:p>
        </w:tc>
      </w:tr>
    </w:tbl>
    <w:p>
      <w:pPr>
        <w:pStyle w:val="Heading1"/>
        <w:spacing w:after="120" w:before="300"/>
      </w:pPr>
      <w:r>
        <w:rPr>
          <w:b/>
          <w:bCs/>
        </w:rPr>
        <w:t xml:space="preserve">11. Implementation Roadmap</w:t>
      </w:r>
    </w:p>
    <w:p>
      <w:pPr>
        <w:spacing w:after="120"/>
      </w:pPr>
      <w:r>
        <w:t xml:space="preserve">Adopt the program in phases. Sequence foundations first, then operating discipline, then maturity.</w:t>
      </w:r>
    </w:p>
    <w:p>
      <w:pPr>
        <w:pStyle w:val="Heading2"/>
        <w:spacing w:after="80" w:before="240"/>
      </w:pPr>
      <w:r>
        <w:rPr>
          <w:b/>
          <w:bCs/>
        </w:rPr>
        <w:t xml:space="preserve">First 30 days</w:t>
      </w:r>
    </w:p>
    <w:p>
      <w:pPr>
        <w:pStyle w:val="ListParagraph"/>
        <w:numPr>
          <w:ilvl w:val="0"/>
          <w:numId w:val="1"/>
        </w:numPr>
      </w:pPr>
      <w:r>
        <w:t xml:space="preserve">Approve and communicate the cybersecurity-first policy.</w:t>
      </w:r>
    </w:p>
    <w:p>
      <w:pPr>
        <w:pStyle w:val="ListParagraph"/>
        <w:numPr>
          <w:ilvl w:val="0"/>
          <w:numId w:val="1"/>
        </w:numPr>
      </w:pPr>
      <w:r>
        <w:t xml:space="preserve">Assign role owners and establish a 24x7 incident reporting path.</w:t>
      </w:r>
    </w:p>
    <w:p>
      <w:pPr>
        <w:pStyle w:val="ListParagraph"/>
        <w:numPr>
          <w:ilvl w:val="0"/>
          <w:numId w:val="1"/>
        </w:numPr>
      </w:pPr>
      <w:r>
        <w:t xml:space="preserve">Stand up an asset, identity, and critical-service inventory.</w:t>
      </w:r>
    </w:p>
    <w:p>
      <w:pPr>
        <w:pStyle w:val="ListParagraph"/>
        <w:numPr>
          <w:ilvl w:val="0"/>
          <w:numId w:val="1"/>
        </w:numPr>
      </w:pPr>
      <w:r>
        <w:t xml:space="preserve">Confirm MFA on all privileged and remote access.</w:t>
      </w:r>
    </w:p>
    <w:p>
      <w:pPr>
        <w:pStyle w:val="ListParagraph"/>
        <w:numPr>
          <w:ilvl w:val="0"/>
          <w:numId w:val="1"/>
        </w:numPr>
      </w:pPr>
      <w:r>
        <w:t xml:space="preserve">Verify backups exist, are isolated, and a restore has been attempted.</w:t>
      </w:r>
    </w:p>
    <w:p>
      <w:pPr>
        <w:pStyle w:val="Heading2"/>
        <w:spacing w:after="80" w:before="240"/>
      </w:pPr>
      <w:r>
        <w:rPr>
          <w:b/>
          <w:bCs/>
        </w:rPr>
        <w:t xml:space="preserve">First 90 days</w:t>
      </w:r>
    </w:p>
    <w:p>
      <w:pPr>
        <w:pStyle w:val="ListParagraph"/>
        <w:numPr>
          <w:ilvl w:val="0"/>
          <w:numId w:val="1"/>
        </w:numPr>
      </w:pPr>
      <w:r>
        <w:t xml:space="preserve">Begin monthly external and quarterly internal vulnerability scans.</w:t>
      </w:r>
    </w:p>
    <w:p>
      <w:pPr>
        <w:pStyle w:val="ListParagraph"/>
        <w:numPr>
          <w:ilvl w:val="0"/>
          <w:numId w:val="1"/>
        </w:numPr>
      </w:pPr>
      <w:r>
        <w:t xml:space="preserve">Launch the vulnerability register with risk-based deadlines.</w:t>
      </w:r>
    </w:p>
    <w:p>
      <w:pPr>
        <w:pStyle w:val="ListParagraph"/>
        <w:numPr>
          <w:ilvl w:val="0"/>
          <w:numId w:val="1"/>
        </w:numPr>
      </w:pPr>
      <w:r>
        <w:t xml:space="preserve">Run a phishing simulation and schedule annual training.</w:t>
      </w:r>
    </w:p>
    <w:p>
      <w:pPr>
        <w:pStyle w:val="ListParagraph"/>
        <w:numPr>
          <w:ilvl w:val="0"/>
          <w:numId w:val="1"/>
        </w:numPr>
      </w:pPr>
      <w:r>
        <w:t xml:space="preserve">Complete onboarding security reviews for critical vendors.</w:t>
      </w:r>
    </w:p>
    <w:p>
      <w:pPr>
        <w:pStyle w:val="ListParagraph"/>
        <w:numPr>
          <w:ilvl w:val="0"/>
          <w:numId w:val="1"/>
        </w:numPr>
      </w:pPr>
      <w:r>
        <w:t xml:space="preserve">Deliver the first executive cyber risk report.</w:t>
      </w:r>
    </w:p>
    <w:p>
      <w:pPr>
        <w:pStyle w:val="Heading2"/>
        <w:spacing w:after="80" w:before="240"/>
      </w:pPr>
      <w:r>
        <w:rPr>
          <w:b/>
          <w:bCs/>
        </w:rPr>
        <w:t xml:space="preserve">12 months</w:t>
      </w:r>
    </w:p>
    <w:p>
      <w:pPr>
        <w:pStyle w:val="ListParagraph"/>
        <w:numPr>
          <w:ilvl w:val="0"/>
          <w:numId w:val="1"/>
        </w:numPr>
      </w:pPr>
      <w:r>
        <w:t xml:space="preserve">Run a full tabletop exercise and an annual penetration test.</w:t>
      </w:r>
    </w:p>
    <w:p>
      <w:pPr>
        <w:pStyle w:val="ListParagraph"/>
        <w:numPr>
          <w:ilvl w:val="0"/>
          <w:numId w:val="1"/>
        </w:numPr>
      </w:pPr>
      <w:r>
        <w:t xml:space="preserve">Complete quarterly restore tests for all critical systems.</w:t>
      </w:r>
    </w:p>
    <w:p>
      <w:pPr>
        <w:pStyle w:val="ListParagraph"/>
        <w:numPr>
          <w:ilvl w:val="0"/>
          <w:numId w:val="1"/>
        </w:numPr>
      </w:pPr>
      <w:r>
        <w:t xml:space="preserve">Complete access reviews and third-party reviews on the operating cadence.</w:t>
      </w:r>
    </w:p>
    <w:p>
      <w:pPr>
        <w:pStyle w:val="ListParagraph"/>
        <w:numPr>
          <w:ilvl w:val="0"/>
          <w:numId w:val="1"/>
        </w:numPr>
      </w:pPr>
      <w:r>
        <w:t xml:space="preserve">Report metrics to the board at least semi-annually.</w:t>
      </w:r>
    </w:p>
    <w:p>
      <w:pPr>
        <w:pStyle w:val="ListParagraph"/>
        <w:numPr>
          <w:ilvl w:val="0"/>
          <w:numId w:val="1"/>
        </w:numPr>
      </w:pPr>
      <w:r>
        <w:t xml:space="preserve">Refresh the risk register and update policy from lessons learned.</w:t>
      </w:r>
    </w:p>
    <w:p>
      <w:pPr>
        <w:pStyle w:val="Heading1"/>
        <w:spacing w:after="120" w:before="300"/>
      </w:pPr>
      <w:r>
        <w:rPr>
          <w:b/>
          <w:bCs/>
        </w:rPr>
        <w:t xml:space="preserve">12. Readiness Checklists and Corrective Action Register</w:t>
      </w:r>
    </w:p>
    <w:p>
      <w:pPr>
        <w:spacing w:after="120"/>
      </w:pPr>
      <w:r>
        <w:t xml:space="preserve">Use these checklists to assess readiness and track improvement.</w:t>
      </w:r>
    </w:p>
    <w:p>
      <w:pPr>
        <w:pStyle w:val="Heading2"/>
        <w:spacing w:after="80" w:before="240"/>
      </w:pPr>
      <w:r>
        <w:rPr>
          <w:b/>
          <w:bCs/>
        </w:rPr>
        <w:t xml:space="preserve">Readiness checklist</w:t>
      </w:r>
    </w:p>
    <w:p>
      <w:pPr>
        <w:pStyle w:val="ListParagraph"/>
        <w:numPr>
          <w:ilvl w:val="0"/>
          <w:numId w:val="1"/>
        </w:numPr>
      </w:pPr>
      <w:r>
        <w:t xml:space="preserve">Approved policy, plan, and ransomware annex with activation criteria.</w:t>
      </w:r>
    </w:p>
    <w:p>
      <w:pPr>
        <w:pStyle w:val="ListParagraph"/>
        <w:numPr>
          <w:ilvl w:val="0"/>
          <w:numId w:val="1"/>
        </w:numPr>
      </w:pPr>
      <w:r>
        <w:t xml:space="preserve">Named role owners and a documented authority matrix.</w:t>
      </w:r>
    </w:p>
    <w:p>
      <w:pPr>
        <w:pStyle w:val="ListParagraph"/>
        <w:numPr>
          <w:ilvl w:val="0"/>
          <w:numId w:val="1"/>
        </w:numPr>
      </w:pPr>
      <w:r>
        <w:t xml:space="preserve">Asset, identity, data-flow, and dependency inventories current.</w:t>
      </w:r>
    </w:p>
    <w:p>
      <w:pPr>
        <w:pStyle w:val="ListParagraph"/>
        <w:numPr>
          <w:ilvl w:val="0"/>
          <w:numId w:val="1"/>
        </w:numPr>
      </w:pPr>
      <w:r>
        <w:t xml:space="preserve">Centralized logging with synchronized time and protected retention.</w:t>
      </w:r>
    </w:p>
    <w:p>
      <w:pPr>
        <w:pStyle w:val="ListParagraph"/>
        <w:numPr>
          <w:ilvl w:val="0"/>
          <w:numId w:val="1"/>
        </w:numPr>
      </w:pPr>
      <w:r>
        <w:t xml:space="preserve">Offline or immutable backups with tested restores.</w:t>
      </w:r>
    </w:p>
    <w:p>
      <w:pPr>
        <w:pStyle w:val="ListParagraph"/>
        <w:numPr>
          <w:ilvl w:val="0"/>
          <w:numId w:val="1"/>
        </w:numPr>
      </w:pPr>
      <w:r>
        <w:t xml:space="preserve">Phishing-resistant MFA on privileged and remote access.</w:t>
      </w:r>
    </w:p>
    <w:p>
      <w:pPr>
        <w:pStyle w:val="ListParagraph"/>
        <w:numPr>
          <w:ilvl w:val="0"/>
          <w:numId w:val="1"/>
        </w:numPr>
      </w:pPr>
      <w:r>
        <w:t xml:space="preserve">Pre-negotiated external IR, breach counsel, and insurer contacts.</w:t>
      </w:r>
    </w:p>
    <w:p>
      <w:pPr>
        <w:pStyle w:val="ListParagraph"/>
        <w:numPr>
          <w:ilvl w:val="0"/>
          <w:numId w:val="1"/>
        </w:numPr>
      </w:pPr>
      <w:r>
        <w:t xml:space="preserve">Vulnerability scanning operating on the required cadence.</w:t>
      </w:r>
    </w:p>
    <w:p>
      <w:pPr>
        <w:pStyle w:val="ListParagraph"/>
        <w:numPr>
          <w:ilvl w:val="0"/>
          <w:numId w:val="1"/>
        </w:numPr>
      </w:pPr>
      <w:r>
        <w:t xml:space="preserve">Tabletop exercise completed in the last 12 months.</w:t>
      </w:r>
    </w:p>
    <w:p>
      <w:pPr>
        <w:pStyle w:val="ListParagraph"/>
        <w:numPr>
          <w:ilvl w:val="0"/>
          <w:numId w:val="1"/>
        </w:numPr>
      </w:pPr>
      <w:r>
        <w:t xml:space="preserve">Metrics reported to executives and the board.</w:t>
      </w:r>
    </w:p>
    <w:p>
      <w:pPr>
        <w:pStyle w:val="Heading2"/>
        <w:spacing w:after="80" w:before="240"/>
      </w:pPr>
      <w:r>
        <w:rPr>
          <w:b/>
          <w:bCs/>
        </w:rPr>
        <w:t xml:space="preserve">Corrective action register</w:t>
      </w:r>
    </w:p>
    <w:p>
      <w:pPr>
        <w:spacing w:after="120"/>
      </w:pPr>
      <w:r>
        <w:t xml:space="preserve">Track every finding, exercise lesson, and audit issue to closure. Maintain at minimum: finding, corrective action, owner, due date, priority, and validation method. Review open items monthly and escalate past-due items to leadership.</w:t>
      </w:r>
    </w:p>
    <w:p>
      <w:pPr>
        <w:pStyle w:val="Heading1"/>
        <w:spacing w:after="120" w:before="300"/>
      </w:pPr>
      <w:r>
        <w:rPr>
          <w:b/>
          <w:bCs/>
        </w:rPr>
        <w:t xml:space="preserve">13. Exercise After-Action Template</w:t>
      </w:r>
    </w:p>
    <w:p>
      <w:pPr>
        <w:spacing w:after="120"/>
      </w:pPr>
      <w:r>
        <w:t xml:space="preserve">Capture results immediately after each exercise or incident while details are fresh.</w:t>
      </w:r>
    </w:p>
    <w:p>
      <w:pPr>
        <w:pStyle w:val="ListParagraph"/>
        <w:numPr>
          <w:ilvl w:val="0"/>
          <w:numId w:val="1"/>
        </w:numPr>
      </w:pPr>
      <w:r>
        <w:t xml:space="preserve">Exercise or incident title, date, and participants.</w:t>
      </w:r>
    </w:p>
    <w:p>
      <w:pPr>
        <w:pStyle w:val="ListParagraph"/>
        <w:numPr>
          <w:ilvl w:val="0"/>
          <w:numId w:val="1"/>
        </w:numPr>
      </w:pPr>
      <w:r>
        <w:t xml:space="preserve">Objectives and whether each was met.</w:t>
      </w:r>
    </w:p>
    <w:p>
      <w:pPr>
        <w:pStyle w:val="ListParagraph"/>
        <w:numPr>
          <w:ilvl w:val="0"/>
          <w:numId w:val="1"/>
        </w:numPr>
      </w:pPr>
      <w:r>
        <w:t xml:space="preserve">Timeline of key decisions and actions.</w:t>
      </w:r>
    </w:p>
    <w:p>
      <w:pPr>
        <w:pStyle w:val="ListParagraph"/>
        <w:numPr>
          <w:ilvl w:val="0"/>
          <w:numId w:val="1"/>
        </w:numPr>
      </w:pPr>
      <w:r>
        <w:t xml:space="preserve">What went well.</w:t>
      </w:r>
    </w:p>
    <w:p>
      <w:pPr>
        <w:pStyle w:val="ListParagraph"/>
        <w:numPr>
          <w:ilvl w:val="0"/>
          <w:numId w:val="1"/>
        </w:numPr>
      </w:pPr>
      <w:r>
        <w:t xml:space="preserve">Gaps and root causes.</w:t>
      </w:r>
    </w:p>
    <w:p>
      <w:pPr>
        <w:pStyle w:val="ListParagraph"/>
        <w:numPr>
          <w:ilvl w:val="0"/>
          <w:numId w:val="1"/>
        </w:numPr>
      </w:pPr>
      <w:r>
        <w:t xml:space="preserve">Corrective actions, owners, and due dates.</w:t>
      </w:r>
    </w:p>
    <w:p>
      <w:pPr>
        <w:pStyle w:val="ListParagraph"/>
        <w:numPr>
          <w:ilvl w:val="0"/>
          <w:numId w:val="1"/>
        </w:numPr>
      </w:pPr>
      <w:r>
        <w:t xml:space="preserve">Decisions requiring leadership approval.</w:t>
      </w:r>
    </w:p>
    <w:p>
      <w:pPr>
        <w:pStyle w:val="ListParagraph"/>
        <w:numPr>
          <w:ilvl w:val="0"/>
          <w:numId w:val="1"/>
        </w:numPr>
      </w:pPr>
      <w:r>
        <w:t xml:space="preserve">Next exercise date and scenario.</w:t>
      </w:r>
    </w:p>
    <w:p>
      <w:pPr>
        <w:pStyle w:val="Heading1"/>
        <w:spacing w:after="120" w:before="300"/>
      </w:pPr>
      <w:r>
        <w:rPr>
          <w:b/>
          <w:bCs/>
        </w:rPr>
        <w:t xml:space="preserve">14. References</w:t>
      </w:r>
    </w:p>
    <w:p>
      <w:pPr>
        <w:spacing w:after="120"/>
      </w:pPr>
      <w:r>
        <w:t xml:space="preserve">This guide is an original synthesis informed by the following authoritative public resources. Review the source websites for updates before operational reliance.</w:t>
      </w:r>
    </w:p>
    <w:p>
      <w:pPr>
        <w:pStyle w:val="Heading2"/>
        <w:spacing w:after="80" w:before="240"/>
      </w:pPr>
      <w:r>
        <w:rPr>
          <w:b/>
          <w:bCs/>
        </w:rPr>
        <w:t xml:space="preserve">Government and professional references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fill="1A2436" w:color="auto" w:val="solid"/>
          </w:tcPr>
          <w:p>
            <w:r>
              <w:rPr>
                <w:b/>
                <w:bCs/>
                <w:color w:val="E8EEF5"/>
              </w:rPr>
              <w:t xml:space="preserve">Source</w:t>
            </w:r>
          </w:p>
        </w:tc>
        <w:tc>
          <w:tcPr>
            <w:shd w:fill="1A2436" w:color="auto" w:val="solid"/>
          </w:tcPr>
          <w:p>
            <w:r>
              <w:rPr>
                <w:b/>
                <w:bCs/>
                <w:color w:val="E8EEF5"/>
              </w:rPr>
              <w:t xml:space="preserve">Resource</w:t>
            </w:r>
          </w:p>
        </w:tc>
        <w:tc>
          <w:tcPr>
            <w:shd w:fill="1A2436" w:color="auto" w:val="solid"/>
          </w:tcPr>
          <w:p>
            <w:r>
              <w:rPr>
                <w:b/>
                <w:bCs/>
                <w:color w:val="E8EEF5"/>
              </w:rPr>
              <w:t xml:space="preserve">Public URL</w:t>
            </w:r>
          </w:p>
        </w:tc>
      </w:tr>
      <w:tr>
        <w:tc>
          <w:p>
            <w:r>
              <w:t xml:space="preserve">NIST</w:t>
            </w:r>
          </w:p>
        </w:tc>
        <w:tc>
          <w:p>
            <w:r>
              <w:t xml:space="preserve">Cybersecurity Framework 2.0 (Govern, Identify, Protect, Detect, Respond, Recover).</w:t>
            </w:r>
          </w:p>
        </w:tc>
        <w:tc>
          <w:p>
            <w:r>
              <w:t xml:space="preserve">https://www.nist.gov/cyberframework</w:t>
            </w:r>
          </w:p>
        </w:tc>
      </w:tr>
      <w:tr>
        <w:tc>
          <w:p>
            <w:r>
              <w:t xml:space="preserve">NIST</w:t>
            </w:r>
          </w:p>
        </w:tc>
        <w:tc>
          <w:p>
            <w:r>
              <w:t xml:space="preserve">SP 800-61 Revision 3, Incident Response Recommendations and Considerations for Cybersecurity Risk Management (April 2025).</w:t>
            </w:r>
          </w:p>
        </w:tc>
        <w:tc>
          <w:p>
            <w:r>
              <w:t xml:space="preserve">https://csrc.nist.gov/pubs/sp/800/61/r3/final</w:t>
            </w:r>
          </w:p>
        </w:tc>
      </w:tr>
      <w:tr>
        <w:tc>
          <w:p>
            <w:r>
              <w:t xml:space="preserve">NIST</w:t>
            </w:r>
          </w:p>
        </w:tc>
        <w:tc>
          <w:p>
            <w:r>
              <w:t xml:space="preserve">SP 800-40 Revision 4, Guide to Enterprise Patch Management.</w:t>
            </w:r>
          </w:p>
        </w:tc>
        <w:tc>
          <w:p>
            <w:r>
              <w:t xml:space="preserve">https://csrc.nist.gov/pubs/sp/800/40/r4/final</w:t>
            </w:r>
          </w:p>
        </w:tc>
      </w:tr>
      <w:tr>
        <w:tc>
          <w:p>
            <w:r>
              <w:t xml:space="preserve">CISA</w:t>
            </w:r>
          </w:p>
        </w:tc>
        <w:tc>
          <w:p>
            <w:r>
              <w:t xml:space="preserve">Cyber Essentials for small and midsize organizations.</w:t>
            </w:r>
          </w:p>
        </w:tc>
        <w:tc>
          <w:p>
            <w:r>
              <w:t xml:space="preserve">https://www.cisa.gov/cyber-essentials</w:t>
            </w:r>
          </w:p>
        </w:tc>
      </w:tr>
      <w:tr>
        <w:tc>
          <w:p>
            <w:r>
              <w:t xml:space="preserve">CISA</w:t>
            </w:r>
          </w:p>
        </w:tc>
        <w:tc>
          <w:p>
            <w:r>
              <w:t xml:space="preserve">StopRansomware Guide and ransomware prevention/response resources.</w:t>
            </w:r>
          </w:p>
        </w:tc>
        <w:tc>
          <w:p>
            <w:r>
              <w:t xml:space="preserve">https://www.cisa.gov/stopransomware</w:t>
            </w:r>
          </w:p>
        </w:tc>
      </w:tr>
      <w:tr>
        <w:tc>
          <w:p>
            <w:r>
              <w:t xml:space="preserve">CISA</w:t>
            </w:r>
          </w:p>
        </w:tc>
        <w:tc>
          <w:p>
            <w:r>
              <w:t xml:space="preserve">Tabletop Exercise Packages and cybersecurity training programs.</w:t>
            </w:r>
          </w:p>
        </w:tc>
        <w:tc>
          <w:p>
            <w:r>
              <w:t xml:space="preserve">https://www.cisa.gov/cybersecurity-training-programs</w:t>
            </w:r>
          </w:p>
        </w:tc>
      </w:tr>
      <w:tr>
        <w:tc>
          <w:p>
            <w:r>
              <w:t xml:space="preserve">CIS</w:t>
            </w:r>
          </w:p>
        </w:tc>
        <w:tc>
          <w:p>
            <w:r>
              <w:t xml:space="preserve">CIS Controls v8 and v8.1 (including vulnerability and incident-response management).</w:t>
            </w:r>
          </w:p>
        </w:tc>
        <w:tc>
          <w:p>
            <w:r>
              <w:t xml:space="preserve">https://www.cisecurity.org/controls</w:t>
            </w:r>
          </w:p>
        </w:tc>
      </w:tr>
      <w:tr>
        <w:tc>
          <w:p>
            <w:r>
              <w:t xml:space="preserve">FTC</w:t>
            </w:r>
          </w:p>
        </w:tc>
        <w:tc>
          <w:p>
            <w:r>
              <w:t xml:space="preserve">Start with Security: A Guide for Business.</w:t>
            </w:r>
          </w:p>
        </w:tc>
        <w:tc>
          <w:p>
            <w:r>
              <w:t xml:space="preserve">https://www.ftc.gov/business-guidance/resources/start-security-challenges-businesses</w:t>
            </w:r>
          </w:p>
        </w:tc>
      </w:tr>
      <w:tr>
        <w:tc>
          <w:p>
            <w:r>
              <w:t xml:space="preserve">ISACA</w:t>
            </w:r>
          </w:p>
        </w:tc>
        <w:tc>
          <w:p>
            <w:r>
              <w:t xml:space="preserve">Cyber resilience, governance, and audit guidance.</w:t>
            </w:r>
          </w:p>
        </w:tc>
        <w:tc>
          <w:p>
            <w:r>
              <w:t xml:space="preserve">https://www.isaca.org/resources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2026-07-14T14:46:56.716Z</dcterms:created>
  <dcterms:modified xsi:type="dcterms:W3CDTF">2026-07-14T14:46:56.718Z</dcterms:modified>
</cp:coreProperties>
</file>

<file path=docProps/custom.xml><?xml version="1.0" encoding="utf-8"?>
<Properties xmlns="http://schemas.openxmlformats.org/officeDocument/2006/custom-properties" xmlns:vt="http://schemas.openxmlformats.org/officeDocument/2006/docPropsVTypes"/>
</file>